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BF" w:rsidRDefault="001F6DBF" w:rsidP="00A31A40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31A40" w:rsidRDefault="00A31A40" w:rsidP="00A31A40">
      <w:pPr>
        <w:spacing w:before="100" w:beforeAutospacing="1" w:after="100" w:afterAutospacing="1" w:line="360" w:lineRule="auto"/>
        <w:jc w:val="both"/>
      </w:pPr>
      <w:r>
        <w:t>Szanowni Państwo,</w:t>
      </w:r>
    </w:p>
    <w:p w:rsidR="00A31A40" w:rsidRDefault="00A31A40" w:rsidP="00A31A40">
      <w:pPr>
        <w:spacing w:before="100" w:beforeAutospacing="1" w:after="100" w:afterAutospacing="1" w:line="360" w:lineRule="auto"/>
        <w:jc w:val="both"/>
      </w:pPr>
      <w:r>
        <w:t>Informujemy, że w dniu 13 lipca 2018r., weszła w życie Ustawa z dnia 1 marca 2018r.,           o przeciwdziałaniu praniu pieniędzy oraz finansowaniu terroryzmu (Dz. U. z 2018r. poz. 723 ze zm.).</w:t>
      </w:r>
    </w:p>
    <w:p w:rsidR="00A31A40" w:rsidRDefault="00A31A40" w:rsidP="00A31A40">
      <w:pPr>
        <w:spacing w:before="100" w:beforeAutospacing="1" w:after="100" w:afterAutospacing="1" w:line="360" w:lineRule="auto"/>
        <w:jc w:val="both"/>
      </w:pPr>
      <w:r>
        <w:t xml:space="preserve">Ustawa ma na celu dostosowanie polskich przepisów do przepisów dyrektywy 2015/849 oraz znowelizowanych zleceń </w:t>
      </w:r>
      <w:proofErr w:type="spellStart"/>
      <w:r>
        <w:t>The</w:t>
      </w:r>
      <w:proofErr w:type="spellEnd"/>
      <w:r>
        <w:t xml:space="preserve"> Financial Action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(FATF), a także zwiększenie efektywności krajowego systemu przeciwdziałania praniu pieniędzy oraz finansowaniu terroryzmu. Ustawa uwzględnia również doświadczenia związane ze stosowaniem przepisów ustawy z dnia 16 listopada 2000 roku o przeciwdziałaniu praniu pieniędzy oraz finansowaniu terroryzmu Dz. U. z 2017r poz. 1049 ze zm.), zwaną dalej ustawą uchyloną.</w:t>
      </w:r>
    </w:p>
    <w:p w:rsidR="00A31A40" w:rsidRDefault="00A31A40" w:rsidP="00A31A40">
      <w:pPr>
        <w:spacing w:before="100" w:beforeAutospacing="1" w:after="100" w:afterAutospacing="1" w:line="360" w:lineRule="auto"/>
        <w:jc w:val="both"/>
      </w:pPr>
      <w:r>
        <w:t xml:space="preserve">W związku z powyższym, informujemy, iż kontrolę wykonywania przez instytucje obowiązane obowiązków w zakresie przeciwdziałania praniu pieniędzy oraz finansowaniu terroryzmu </w:t>
      </w:r>
      <w:r>
        <w:br/>
        <w:t>w ramach sprawowanego nadzoru wykonują także Starostowie ( art.130 ust.2):</w:t>
      </w:r>
    </w:p>
    <w:p w:rsidR="00A31A40" w:rsidRDefault="00A31A40" w:rsidP="00A31A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na zasadach określonych w ustawie – w odniesieniu do stowarzyszeń;</w:t>
      </w:r>
    </w:p>
    <w:p w:rsidR="00A31A40" w:rsidRDefault="00A31A40" w:rsidP="00A31A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na zasadach określonych w ustawie – w odniesieniu do fundacji.</w:t>
      </w:r>
    </w:p>
    <w:p w:rsidR="00A31A40" w:rsidRDefault="00A31A40" w:rsidP="00A31A40">
      <w:pPr>
        <w:spacing w:before="100" w:beforeAutospacing="1" w:after="100" w:afterAutospacing="1" w:line="360" w:lineRule="auto"/>
        <w:jc w:val="both"/>
      </w:pPr>
      <w:r>
        <w:t>Przedstawiamy regulacje odnoszące się do obowiązków instytucji obowiązanych, które zawarte zostały w nowej ustawie.</w:t>
      </w:r>
    </w:p>
    <w:p w:rsidR="00A31A40" w:rsidRPr="00A13252" w:rsidRDefault="00A31A40" w:rsidP="00A31A4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A13252">
        <w:rPr>
          <w:b/>
        </w:rPr>
        <w:t>Katalog instytucji obowiązanych (art. 2 ustawy)</w:t>
      </w:r>
    </w:p>
    <w:p w:rsidR="00A31A40" w:rsidRPr="000A658D" w:rsidRDefault="00A31A40" w:rsidP="00A31A40">
      <w:pPr>
        <w:spacing w:before="100" w:beforeAutospacing="1" w:after="100" w:afterAutospacing="1" w:line="360" w:lineRule="auto"/>
        <w:jc w:val="both"/>
      </w:pPr>
      <w:r>
        <w:t xml:space="preserve">Zmieniony zostaje zakres podmiotowy instytucji obowiązanych objętych przepisami ustawy. Część instytucji została dopisana, część podmiotów straciło status instytucji obowiązanych. Niektóre z podmiotów stają się instytucją obowiązaną po spełnieniu warunków tj. po przyjęciu (dokonaniu płatności) w gotówce kwoty przekraczającej 10.000 euro dotyczy to </w:t>
      </w:r>
      <w:r>
        <w:lastRenderedPageBreak/>
        <w:t xml:space="preserve">między innymi </w:t>
      </w:r>
      <w:r w:rsidRPr="001A114A">
        <w:rPr>
          <w:b/>
        </w:rPr>
        <w:t>fundacji i stowarzyszeń.</w:t>
      </w:r>
      <w:r>
        <w:rPr>
          <w:b/>
        </w:rPr>
        <w:t xml:space="preserve"> </w:t>
      </w:r>
      <w:r>
        <w:t xml:space="preserve">Oznacza to, że w chwili przyjęcia lub dokonania płatności w gotówce kwoty powyżej 10.000 euro, fundacja lub stowarzyszenie stają się automatycznie instytucją obowiązaną, </w:t>
      </w:r>
      <w:r w:rsidRPr="001A114A">
        <w:rPr>
          <w:i/>
        </w:rPr>
        <w:t>ale tylko w stosunku do klienta, od którego przyjęła gotówkę lub dokonała płatności w gotówce zarówno w ramach nawiązanych relacji gospodarczych lub w ramach transakcji okazjonalnej.</w:t>
      </w:r>
      <w:r>
        <w:rPr>
          <w:i/>
        </w:rPr>
        <w:t xml:space="preserve"> </w:t>
      </w:r>
      <w:r>
        <w:t xml:space="preserve">Nie należy tego obowiązku przenosić na relacje z innymi klientami lub inne transakcje, które nie zostały przeprowadzone w formie gotówkowej. </w:t>
      </w:r>
      <w:r w:rsidRPr="000A658D">
        <w:rPr>
          <w:i/>
        </w:rPr>
        <w:t>Tylko w tym zakresie tj. tylko w stosunku do klienta, z którym fundacja lub stowarzyszenie jest związane umową lub transakcją okazjonalną</w:t>
      </w:r>
      <w:r>
        <w:t xml:space="preserve"> fundacja lub stowarzyszenie powinny rozpoznać ryzyko, zastosować środki bezpieczeństwa finansowego i jeśli transakcja przekracza kwotę 15.000 euro przesłać ją do Generalnego Inspektora Informacji Finansowej, zwanego dalej: Generalny Inspektor. Jeśli fundacja lub stowarzyszenie stały się instytucją obowiązaną powinny wyznaczyć osobę odpowiedzialną za przeciwdziałanie praniu pieniędzy</w:t>
      </w:r>
      <w:r>
        <w:br/>
        <w:t xml:space="preserve"> i finansowaniu terroryzmu, wprowadzić wewnętrzną procedurę i przeszkolić pracowników realizujących obowiązki wynikające z ustawy. Po zakończeniu okresu trwania relacji              z klientem, od którego przyjęła gotówkę, fundacja lub stowarzyszenie przestaje być instytucją obowiązaną.</w:t>
      </w:r>
    </w:p>
    <w:p w:rsidR="00A31A40" w:rsidRPr="00A13252" w:rsidRDefault="00A31A40" w:rsidP="00A31A4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A13252">
        <w:rPr>
          <w:b/>
        </w:rPr>
        <w:t>Obowiązki instytucji obowiązanych- fundacji i stowarzyszeń:</w:t>
      </w:r>
    </w:p>
    <w:p w:rsidR="00A31A40" w:rsidRPr="00A13252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A13252">
        <w:rPr>
          <w:b/>
        </w:rPr>
        <w:t>Osoby odpowiedzialne ( art. 6,7, 8, 9 ustawy)</w:t>
      </w:r>
      <w:r>
        <w:rPr>
          <w:b/>
        </w:rPr>
        <w:t>.</w:t>
      </w:r>
    </w:p>
    <w:p w:rsidR="00A31A40" w:rsidRDefault="00A31A40" w:rsidP="00A31A4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Wyznaczenie kadry kierowniczej wyższego szczebla odpowiedzialnej za wykonywanie obowiązków określonych w ustawie (art.6 w zw. z art. 2 ust. 2 pkt9),</w:t>
      </w:r>
    </w:p>
    <w:p w:rsidR="00A31A40" w:rsidRDefault="00A31A40" w:rsidP="00A31A4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Wyznaczenie spośród członków organu zarządzającego fundacji lub stowarzyszenia osoby odpowiedzialnej za wdrożenie obowiązków określonych w ustawie ( art.7),</w:t>
      </w:r>
    </w:p>
    <w:p w:rsidR="00A31A40" w:rsidRDefault="00A31A40" w:rsidP="00A31A4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Wyznaczenie pracownika zajmującego kierownicze stanowisko </w:t>
      </w:r>
      <w:r>
        <w:br/>
        <w:t xml:space="preserve">w fundacji lub stowarzyszeniu odpowiedzialnego za zapewnienie </w:t>
      </w:r>
      <w:r>
        <w:lastRenderedPageBreak/>
        <w:t>zgodności działalności fundacji lub stowarzyszenia oraz ich pracowników z przepisami ustawy ( art. 8)</w:t>
      </w:r>
    </w:p>
    <w:p w:rsidR="00A31A40" w:rsidRDefault="00A31A40" w:rsidP="00A31A4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W przypadku instytucji obowiązanych wykonujących działalność jednoosobowo, osobą odpowiedzialną zarówno za wykonanie jak     </w:t>
      </w:r>
      <w:r>
        <w:br/>
        <w:t xml:space="preserve">   i wdrażanie obowiązków określonych w ustawie jest osoba wykonująca tę działalność ( art.9).</w:t>
      </w:r>
    </w:p>
    <w:p w:rsidR="00A31A40" w:rsidRPr="00FD3CB6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Ocena ryzyka instytucji obowiązanych ( art. 27 ustawy)</w:t>
      </w:r>
      <w:r>
        <w:rPr>
          <w:b/>
        </w:rPr>
        <w:t>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Stosownie do art. 27 ustawy Fundacje i stowarzyszenia zostały zobowiązane       do identyfikowania i oceny ryzyka związanego z praniem pieniędzy                         i finansowaniem terroryzmu, odnosząc się do ich działalności. Powinny przy tym uwzględniać czynniki ryzyka dotyczące: klientów, państw lub obszarów geograficznych, produktów, usług, transakcji lub kanałów ich dostaw. Podejmowane przez nie </w:t>
      </w:r>
      <w:proofErr w:type="spellStart"/>
      <w:r>
        <w:t>dzialania</w:t>
      </w:r>
      <w:proofErr w:type="spellEnd"/>
      <w:r>
        <w:t xml:space="preserve"> powinny ponadto być proporcjonalne               do charakteru i odnosić się do wielkości danej fundacji lub stowarzyszenia.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Przy ocenie ryzyka fundacje i stowarzyszenia mogą uwzględniać, krajową ocenę ryzyka, jak również sprawozdania Komisji Europejskiej z ponadnarodowej oceny ryzyka prania pieniędzy oraz finansowania terroryzmu. 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(Stosownie do art.193 ustawy pierwszą krajową ocenę ryzyka Generalny Inspektor Informacji Finansowej opracuje w terminie 12 miesięcy od dnia wejścia w życie ustawy).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Ocena ryzyka powinna być sporządzona w postaci papierowej lub elektronicznej     i podlegać bieżącej aktualizacji w związku ze zmianami czynników ryzyka, nie rzadziej niż co dwa lata. W razie potrzeby, w szczególności w związku                 ze zmianami czynników ryzyka dotyczących klientów, państw lub obszarów </w:t>
      </w:r>
      <w:r>
        <w:lastRenderedPageBreak/>
        <w:t>geograficznych, produktów, usług, transakcji lub kanałów ich dostaw albo oceny ryzyka UE lub krajowej oceny ryzyka, aktualizacja powinna następować częściej.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  <w:rPr>
          <w:b/>
          <w:u w:val="single"/>
        </w:rPr>
      </w:pPr>
      <w:r w:rsidRPr="000631E4">
        <w:rPr>
          <w:b/>
        </w:rPr>
        <w:t xml:space="preserve">Pierwszą ocenę ryzyka fundacje i stowarzyszenia sporządzają </w:t>
      </w:r>
      <w:r>
        <w:rPr>
          <w:b/>
        </w:rPr>
        <w:br/>
      </w:r>
      <w:r w:rsidRPr="000631E4">
        <w:rPr>
          <w:b/>
        </w:rPr>
        <w:t xml:space="preserve">w terminie 6 miesięcy od dnia wejścia w życie ustawy, tj. do </w:t>
      </w:r>
      <w:r w:rsidRPr="000631E4">
        <w:rPr>
          <w:b/>
          <w:u w:val="single"/>
        </w:rPr>
        <w:t>13 stycznia 2019r.</w:t>
      </w:r>
    </w:p>
    <w:p w:rsidR="00A31A40" w:rsidRPr="00B80D02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Na żądanie Generalnego Inspektora przekazują przygotowane w zakresie swojej właściwości oceny ryzyka oraz inne informacje mogące mieć wpływ na krajową ocenę ryzyka.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Rozpoznanie i ocena ryzyka klienta ( art.33 ustawy)</w:t>
      </w:r>
      <w:r>
        <w:rPr>
          <w:b/>
        </w:rPr>
        <w:t>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FD4040">
        <w:t xml:space="preserve">Fundacje i stowarzyszenia zostały zobowiązane do </w:t>
      </w:r>
      <w:r>
        <w:t>stosowania środków bezpieczeństwa finansowego wobec swoich klientów. W celu stosowania ww. środków zostały zobowiązane są do:  rozpoznania ryzyka prania pieniędzy związanego ze stosunkami gospodarczymi lub z transakcją okazjonalną i oceny poziomu rozpoznanego ryzyka. Przedmiotowa ocena ma zasadniczy wpływ na intensywność stosowania środków bezpieczeństwa finansowego wobec klientów.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Fundacje i stowarzyszenia stosownie do art..33 ustawy „dokumentują rozpoznane ryzyko prania pieniędzy oraz finansowania terroryzmu związane ze stosunkami gospodarczymi lub z transakcją okazjonalną oraz jego ocenę, uwzględniając          w szczególności czynniki dotyczące:</w:t>
      </w:r>
    </w:p>
    <w:p w:rsidR="00A31A40" w:rsidRDefault="00A31A40" w:rsidP="00A31A4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Rodzaju klienta;</w:t>
      </w:r>
    </w:p>
    <w:p w:rsidR="00A31A40" w:rsidRDefault="00A31A40" w:rsidP="00A31A4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Obszaru geograficznego;</w:t>
      </w:r>
    </w:p>
    <w:p w:rsidR="00A31A40" w:rsidRDefault="00A31A40" w:rsidP="00A31A4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Przeznaczenia rachunku;</w:t>
      </w:r>
    </w:p>
    <w:p w:rsidR="00A31A40" w:rsidRDefault="00A31A40" w:rsidP="00A31A4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Rodzaju produktów, usług i sposobów ich dystrybucji;</w:t>
      </w:r>
    </w:p>
    <w:p w:rsidR="00A31A40" w:rsidRDefault="00A31A40" w:rsidP="00A31A4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Poziomu wartości majątkowych deponowanych przez klienta lub wartości przeprowadzonych transakcji;</w:t>
      </w:r>
    </w:p>
    <w:p w:rsidR="00A31A40" w:rsidRPr="00FD4040" w:rsidRDefault="00A31A40" w:rsidP="00A31A4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lastRenderedPageBreak/>
        <w:t>Celu, regularności lub czasu trwania stosunków gospodarczych..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Stosowanie środków bezpieczeństwa finansowego (art.34 ustawy)</w:t>
      </w:r>
      <w:r>
        <w:rPr>
          <w:b/>
        </w:rPr>
        <w:t>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BE699E">
        <w:t>Środki be</w:t>
      </w:r>
      <w:r>
        <w:t>zpieczeństwa finansowego obejmują:</w:t>
      </w:r>
    </w:p>
    <w:p w:rsidR="00A31A40" w:rsidRDefault="00A31A40" w:rsidP="00A31A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Identyfikację klienta oraz weryfikację jego tożsamości,</w:t>
      </w:r>
    </w:p>
    <w:p w:rsidR="00A31A40" w:rsidRDefault="00A31A40" w:rsidP="00A31A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Identyfikację beneficjenta rzeczywistego oraz podejmowanie uzasadnionych czynności w celu: weryfikacji jego tożsamości, ustalenia struktury własności i kontroli- w przypadku klienta będącego osobą prawną albo jednostką organizacyjna nieposiadającą osobowości prawnej;</w:t>
      </w:r>
    </w:p>
    <w:p w:rsidR="00A31A40" w:rsidRDefault="00A31A40" w:rsidP="00A31A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Ocenę stosunków gospodarczych i uzyskanie informacji na temat ich celu i zamierzonego charakteru;</w:t>
      </w:r>
    </w:p>
    <w:p w:rsidR="00A31A40" w:rsidRDefault="00A31A40" w:rsidP="00A31A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Bieżące monitorowanie stosunków gospodarczych klienta , w tym:</w:t>
      </w:r>
    </w:p>
    <w:p w:rsidR="00A31A40" w:rsidRDefault="00A31A40" w:rsidP="00A31A40">
      <w:pPr>
        <w:numPr>
          <w:ilvl w:val="5"/>
          <w:numId w:val="2"/>
        </w:numPr>
        <w:tabs>
          <w:tab w:val="clear" w:pos="4500"/>
        </w:tabs>
        <w:spacing w:before="100" w:beforeAutospacing="1" w:after="100" w:afterAutospacing="1" w:line="360" w:lineRule="auto"/>
        <w:ind w:left="2700"/>
        <w:jc w:val="both"/>
      </w:pPr>
      <w:r>
        <w:t xml:space="preserve">Analizę transakcji przeprowadzonych w ramach stosunków gospodarczych w celu zapewnienia, że transakcje te są zgodne </w:t>
      </w:r>
      <w:r>
        <w:br/>
        <w:t>z wiedzą instytucji obowiązanej o kliencie, rodzaju i zakresie prowadzonej przez niego działalności oraz zgodne z ryzykiem prania pieniędzy oraz finansowania terroryzmu  związanym z tym klientem,</w:t>
      </w:r>
    </w:p>
    <w:p w:rsidR="00A31A40" w:rsidRDefault="00A31A40" w:rsidP="00A31A40">
      <w:pPr>
        <w:numPr>
          <w:ilvl w:val="5"/>
          <w:numId w:val="2"/>
        </w:numPr>
        <w:tabs>
          <w:tab w:val="clear" w:pos="4500"/>
        </w:tabs>
        <w:spacing w:before="100" w:beforeAutospacing="1" w:after="100" w:afterAutospacing="1" w:line="360" w:lineRule="auto"/>
        <w:ind w:left="2700"/>
        <w:jc w:val="both"/>
      </w:pPr>
      <w:r>
        <w:t>Badanie źródła pochodzenia wartości majątkowych będących</w:t>
      </w:r>
      <w:r>
        <w:br/>
        <w:t xml:space="preserve"> w dyspozycji klienta w przypadkach uzasadnionych okolicznościami,</w:t>
      </w:r>
    </w:p>
    <w:p w:rsidR="00A31A40" w:rsidRDefault="00A31A40" w:rsidP="00A31A40">
      <w:pPr>
        <w:numPr>
          <w:ilvl w:val="5"/>
          <w:numId w:val="2"/>
        </w:numPr>
        <w:tabs>
          <w:tab w:val="clear" w:pos="4500"/>
        </w:tabs>
        <w:spacing w:before="100" w:beforeAutospacing="1" w:after="100" w:afterAutospacing="1" w:line="360" w:lineRule="auto"/>
        <w:ind w:left="2700"/>
        <w:jc w:val="both"/>
      </w:pPr>
      <w:r>
        <w:t>Zapewnienie , że posiadane dokumenty, dane lub informacje dotyczące stosunków gospodarczych są na bieżąco aktualizowane.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  <w:rPr>
          <w:b/>
        </w:rPr>
      </w:pPr>
      <w:r>
        <w:lastRenderedPageBreak/>
        <w:t xml:space="preserve">Odnośnie identyfikacji i weryfikacji beneficjenta rzeczywistego klienta należy podjąć uzasadnione środki weryfikacji jego tożsamości, tak aby instytucja obowiązana była przekonana, że wie kim jest beneficjent rzeczywisty. </w:t>
      </w:r>
      <w:r>
        <w:br/>
        <w:t xml:space="preserve">W przypadku osób prawnych, przedsiębiorstw, fundacji i podobnych porozumień prawnych należy podjąć uzasadnione środki w celu zrozumienia struktury własności i kontroli klienta. </w:t>
      </w:r>
      <w:r w:rsidRPr="005E3195">
        <w:rPr>
          <w:b/>
        </w:rPr>
        <w:t>Beneficjentem jest zawsze osoba fizyczna.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5E3195">
        <w:t xml:space="preserve">Środki bezpieczeństwa </w:t>
      </w:r>
      <w:r>
        <w:t>finansowego fundacje i stowarzyszenia stosują</w:t>
      </w:r>
      <w:r>
        <w:br/>
        <w:t xml:space="preserve"> w przypadku: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- nawiązania stosunków gospodarczych;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- przeprowadzania transakcji okazjonalnej :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a) o równowartości 15.000 euro lub większej, bez względu na to, czy transakcja jest przeprowadzana jako pojedyncza operacja, czy kilka operacji, które wydają się ze sobą powiązane.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-przeprowadzania gotówkowej transakcji okazjonalnej o równowartości </w:t>
      </w:r>
      <w:r w:rsidRPr="00121294">
        <w:rPr>
          <w:b/>
        </w:rPr>
        <w:t xml:space="preserve">10.000 euro </w:t>
      </w:r>
      <w:r>
        <w:t>lub większej, bez względu na to, czy transakcja jest przeprowadzana jako pojedyncza operacja, czy kilka operacji, które wydają się ze sobą powiązane –</w:t>
      </w:r>
      <w:r>
        <w:br/>
        <w:t xml:space="preserve"> w przypadku instytucji obowiązanych, o których mowa  w art.2 ust.1 pkt 23 ustawy;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- podejrzenia prania pieniędzy lub finansowania terroryzmu;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Wątpliwości co do prawdziwości  lub kompletności dotychczas uzyskanych danych identyfikacyjnych klienta.</w:t>
      </w:r>
    </w:p>
    <w:p w:rsidR="00A31A40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Fundacje i stowarzyszenia stosują środki bezpieczeństwa  finansowego</w:t>
      </w:r>
      <w:r>
        <w:br/>
        <w:t xml:space="preserve"> w odniesieniu do klientów, z którymi utrzymują stosunki gospodarcze,</w:t>
      </w:r>
      <w:r>
        <w:br/>
      </w:r>
      <w:r>
        <w:lastRenderedPageBreak/>
        <w:t xml:space="preserve"> z uwzględnieniem rozpoznanego ryzyka prania pieniędzy oraz finansowania terroryzmu, w szczególności, gdy doszło do zmiany uprzednio ustalonego charakteru lub okoliczności stosunków gospodarczych. </w:t>
      </w:r>
    </w:p>
    <w:p w:rsidR="00A31A40" w:rsidRPr="00121294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Mogą stosować </w:t>
      </w:r>
      <w:r w:rsidRPr="004A04C3">
        <w:rPr>
          <w:b/>
        </w:rPr>
        <w:t>uproszczone</w:t>
      </w:r>
      <w:r>
        <w:t xml:space="preserve"> środki bezpieczeństwa finansowego w przypadkach określonych w art. 42 ustawy lub </w:t>
      </w:r>
      <w:r w:rsidRPr="004A04C3">
        <w:rPr>
          <w:b/>
        </w:rPr>
        <w:t>wzmożone</w:t>
      </w:r>
      <w:r>
        <w:t xml:space="preserve"> środki bezpieczeństwa finansowego (art. 43). Te ostatnie powinny zostać zastosowane w przypadkach wyższego ryzyka prania pieniędzy lub finansowania terroryzmu. Katalog przykładowych czynników wyższego ryzyka znajduje się w art. 43 ustawy.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Bieżąca analiza transakcji</w:t>
      </w:r>
      <w:r>
        <w:rPr>
          <w:b/>
        </w:rPr>
        <w:t>.</w:t>
      </w:r>
    </w:p>
    <w:p w:rsidR="00A31A40" w:rsidRPr="004A04C3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W aktualnym stanie prawnym, fundacje i stowarzyszenia nie mają obowiązku przeprowadzania oddzielnej bieżącej analizy transakcji dla klientów. Analiza transakcji klienta prowadzona jest w ramach środków bezpieczeństwa finansowego – bieżącego monitoringu stosunków gospodarczych. Natomiast </w:t>
      </w:r>
      <w:r>
        <w:br/>
        <w:t xml:space="preserve">w stosunku do klientów, wobec których stosuje się wzmożone środki bezpieczeństwa finansowego fundacje i stowarzyszenia  przeprowadzają wzmożoną bieżącą analizę przeprowadzonych z tym klientem transakcji </w:t>
      </w:r>
      <w:r>
        <w:br/>
        <w:t>i dokumentują wyniki tej analizy.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Rejestr transakcji</w:t>
      </w:r>
      <w:r>
        <w:rPr>
          <w:b/>
        </w:rPr>
        <w:t>.</w:t>
      </w:r>
    </w:p>
    <w:p w:rsidR="00A31A40" w:rsidRPr="00B97E62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B97E62">
        <w:t xml:space="preserve">Ustawa </w:t>
      </w:r>
      <w:r>
        <w:t>znosi obowiązek prowadzenie rejestru transakcji w obecnym kształcie. Oznacza to, że od 13 lipca 2018r., fundacje i stowarzyszenia nie są już obowiązane do prowadzenia rejestru transakcji. Jednakże, dane zawarte</w:t>
      </w:r>
      <w:r>
        <w:br/>
        <w:t xml:space="preserve"> w dotychczas prowadzonym rejestrze muszą być przechowywane  przez okres 5 lat, licząc od pierwszego dnia roku następującego po roku, w którym transakcje zostały zarejestrowane. W przypadku likwidacji, połączenia, podziału oraz przekształcenia fundacji i stowarzyszenia, do przechowywania rejestrów</w:t>
      </w:r>
      <w:r>
        <w:br/>
      </w:r>
      <w:r>
        <w:lastRenderedPageBreak/>
        <w:t xml:space="preserve"> i dokumentacji stosuje się odpowiednio przepisy art. 76 ustawy z dnia 29 września 1994 roku o rachunkowości (Dz. U. z 2018r., poz. 395 ze zm.).</w:t>
      </w:r>
      <w:r>
        <w:br/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Wewnętrzna procedura (art. 50 ust. 1 ustawy)</w:t>
      </w:r>
      <w:r>
        <w:rPr>
          <w:b/>
        </w:rPr>
        <w:t>.</w:t>
      </w:r>
    </w:p>
    <w:p w:rsidR="00A31A40" w:rsidRPr="00CC3ACC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Stosownie do art. 50 ustawy fundacje i stowarzyszenia wprowadzają wewnętrzną procedurę w zakresie przeciwdziałania praniu pieniędzy oraz finansowaniu terroryzmu, która powinna określać zasady postępowania stosowane w fundacji</w:t>
      </w:r>
      <w:r>
        <w:br/>
        <w:t xml:space="preserve"> i stowarzyszeniu. Elementy, jakie powinna zawierać wewnętrzna procedura, określa art. 50 ust. 2 pkt 1-9  ustawy. Wewnętrzna procedura podlega akceptacji przez kadrę kierowniczą wyższego szczebla.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Szkolenia (art.52 ustawy)</w:t>
      </w:r>
      <w:r>
        <w:rPr>
          <w:b/>
        </w:rPr>
        <w:t>.</w:t>
      </w:r>
    </w:p>
    <w:p w:rsidR="00A31A40" w:rsidRPr="001F0188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1F0188">
        <w:t xml:space="preserve">Ustawa w istotny sposób zmienia dotychczasowy </w:t>
      </w:r>
      <w:r>
        <w:t>stan prawny dotyczący przeciwdziałania praniu pieniędzy oraz finansowaniu terroryzmu, konieczne jest zaktualizowanie obowiązków szkoleniowych, określonych w art. 52 ustawy. Szkolenia mogą być zewnętrzne lub wewnętrzne w fundacji lub stowarzyszeniu, jak również samokształcące poprzez wykorzystanie informacji i komunikatów dostępnych na stronach Generalnego Inspektora.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Obowiązek przekazania informacji o transakcjach (art.72,74 i 89 ustawy).</w:t>
      </w:r>
    </w:p>
    <w:p w:rsidR="00A31A40" w:rsidRPr="006E40C5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>Nowym obowiązkiem dla fundacji i stowarzyszeń jest niezwłoczne zawiadomienie właściwego prokuratora o przypadku powzięcia uzasadnionego podejrzenia, że wartości majątkowe będące przedmiotem transakcji lub zgromadzone na rachunku, pochodzą z przestępstwa innego niż przestępstwo prania pieniędzy lub finansowania terroryzmu lub z przestępstwa skarbowego.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lastRenderedPageBreak/>
        <w:t>Wstrzymywanie transakcji (Rozdział 8 ustawy)</w:t>
      </w:r>
      <w:r>
        <w:rPr>
          <w:b/>
        </w:rPr>
        <w:t>.</w:t>
      </w:r>
    </w:p>
    <w:p w:rsidR="00A31A40" w:rsidRPr="006E40C5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6E40C5">
        <w:t xml:space="preserve">Ustawa </w:t>
      </w:r>
      <w:r>
        <w:t>wprowadza  nowe terminy wstrzymania transakcji, które zostały określone w art. 86 ustawy oraz nowe terminy, w przypadku gdy przekazanie zawiadomienia było niemożliwe przed przeprowadzeniem transakcji.- art. 90 ustawy.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Szczególne środki ograniczające (art. 117,118,119 i 120 ustawy)</w:t>
      </w:r>
      <w:r>
        <w:rPr>
          <w:b/>
        </w:rPr>
        <w:t>.</w:t>
      </w:r>
    </w:p>
    <w:p w:rsidR="00A31A40" w:rsidRPr="006E40C5" w:rsidRDefault="00A31A40" w:rsidP="00A31A40">
      <w:pPr>
        <w:spacing w:before="100" w:beforeAutospacing="1" w:after="100" w:afterAutospacing="1" w:line="360" w:lineRule="auto"/>
        <w:ind w:left="1080"/>
        <w:jc w:val="both"/>
      </w:pPr>
      <w:r w:rsidRPr="006E40C5">
        <w:t>Szczególne środki o</w:t>
      </w:r>
      <w:r>
        <w:t>graniczające, o których mowa w art. 117 ust. 2 fundacje</w:t>
      </w:r>
      <w:r>
        <w:br/>
        <w:t xml:space="preserve"> i stowarzyszenia stosują wobec osób i podmiotów wskazanych na liście, o której mowa w art. 120 ustawy.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 w:rsidRPr="00FD3CB6">
        <w:rPr>
          <w:b/>
        </w:rPr>
        <w:t>Kontrolowanie instytucji obowiązanych (Rozdział 12 ustawy)</w:t>
      </w:r>
      <w:r>
        <w:rPr>
          <w:b/>
        </w:rPr>
        <w:t>.</w:t>
      </w:r>
    </w:p>
    <w:p w:rsidR="00A31A40" w:rsidRPr="004E4DBB" w:rsidRDefault="00A31A40" w:rsidP="00A31A40">
      <w:pPr>
        <w:spacing w:before="100" w:beforeAutospacing="1" w:after="100" w:afterAutospacing="1" w:line="360" w:lineRule="auto"/>
        <w:ind w:left="1080"/>
        <w:jc w:val="both"/>
      </w:pPr>
      <w:r>
        <w:t xml:space="preserve">Zasady kontroli instytucji obowiązanych uregulowane zostały w art. 130-146 Rozdziału 12 ustawy. Kontrola może być przeprowadzona w zakresie i na zasadach określonych w ustawie przez ww. organy na podstawie rocznego planu kontroli bądź doraźnie. Przedmiotowa kontrola może być realizowana przez co najmniej dwóch pracowników. Z przeprowadzonej kontroli sporządzany jest protokół pokontrolny (art.141) oraz wystąpienia pokontrolne zawierające m.in. zalecenia pokontrolne (art.142). </w:t>
      </w:r>
    </w:p>
    <w:p w:rsidR="00A31A40" w:rsidRDefault="00A31A40" w:rsidP="00A31A4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 xml:space="preserve"> </w:t>
      </w:r>
      <w:r w:rsidRPr="00FD3CB6">
        <w:rPr>
          <w:b/>
        </w:rPr>
        <w:t>Kary administracyjne (Rozdział 13</w:t>
      </w:r>
      <w:r>
        <w:rPr>
          <w:b/>
        </w:rPr>
        <w:t xml:space="preserve"> ustawy</w:t>
      </w:r>
      <w:r w:rsidRPr="00FD3CB6">
        <w:rPr>
          <w:b/>
        </w:rPr>
        <w:t>)</w:t>
      </w:r>
      <w:r>
        <w:rPr>
          <w:b/>
        </w:rPr>
        <w:t>.</w:t>
      </w:r>
    </w:p>
    <w:p w:rsidR="00A31A40" w:rsidRDefault="00A31A40" w:rsidP="0067573D">
      <w:pPr>
        <w:spacing w:before="100" w:beforeAutospacing="1" w:after="100" w:afterAutospacing="1" w:line="360" w:lineRule="auto"/>
        <w:ind w:left="1080"/>
      </w:pPr>
      <w:r>
        <w:t>Kary administracyjne na fundacje i stowarzyszenia, w drodze decyzji administracyjnej, nakłada Generalny Inspektor.</w:t>
      </w:r>
      <w:r>
        <w:br/>
      </w:r>
      <w:r>
        <w:br/>
      </w:r>
    </w:p>
    <w:p w:rsidR="00A31A40" w:rsidRDefault="00A31A40" w:rsidP="00A31A40">
      <w:pPr>
        <w:spacing w:before="100" w:beforeAutospacing="1" w:after="100" w:afterAutospacing="1" w:line="360" w:lineRule="auto"/>
        <w:jc w:val="both"/>
      </w:pPr>
      <w:r>
        <w:lastRenderedPageBreak/>
        <w:t>Mając na uwadze powyższe informacje, serdecznie zapraszamy wszystkich zainteresowanych na szkolenie z zakresu Przeciwdziałania Praniu pieniędzy oraz finansowaniu terroryzmu,</w:t>
      </w:r>
      <w:r>
        <w:br/>
        <w:t xml:space="preserve"> w siedzibie Sosnowieckiego Centrum Organizacji Pozarządowych, Plac Kościuszki 5, w dniu 21.11.2018r, od godziny 14.00.</w:t>
      </w:r>
    </w:p>
    <w:p w:rsidR="00A31A40" w:rsidRPr="004E4DBB" w:rsidRDefault="00A31A40" w:rsidP="00A31A40">
      <w:pPr>
        <w:spacing w:before="100" w:beforeAutospacing="1" w:after="100" w:afterAutospacing="1" w:line="360" w:lineRule="auto"/>
      </w:pPr>
      <w:r>
        <w:t>Zapisy przyjmujemy pod numerem telefonu: 32 263 32 22.</w:t>
      </w:r>
      <w:r>
        <w:br/>
        <w:t>Ilość miejsc jest ograniczona, decyduje kolejność zgłoszeń.</w:t>
      </w:r>
    </w:p>
    <w:sectPr w:rsidR="00A31A40" w:rsidRPr="004E4DBB" w:rsidSect="000E1F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75" w:rsidRDefault="00865F75" w:rsidP="00DD6EE0">
      <w:pPr>
        <w:spacing w:after="0" w:line="240" w:lineRule="auto"/>
      </w:pPr>
      <w:r>
        <w:separator/>
      </w:r>
    </w:p>
  </w:endnote>
  <w:endnote w:type="continuationSeparator" w:id="0">
    <w:p w:rsidR="00865F75" w:rsidRDefault="00865F75" w:rsidP="00DD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75" w:rsidRDefault="00865F75" w:rsidP="00DD6EE0">
      <w:pPr>
        <w:spacing w:after="0" w:line="240" w:lineRule="auto"/>
      </w:pPr>
      <w:r>
        <w:separator/>
      </w:r>
    </w:p>
  </w:footnote>
  <w:footnote w:type="continuationSeparator" w:id="0">
    <w:p w:rsidR="00865F75" w:rsidRDefault="00865F75" w:rsidP="00DD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E0" w:rsidRPr="00DD6EE0" w:rsidRDefault="0057204F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17365D" w:themeColor="text2" w:themeShade="BF"/>
        <w:sz w:val="26"/>
        <w:szCs w:val="26"/>
      </w:rPr>
    </w:pPr>
    <w:r>
      <w:rPr>
        <w:rFonts w:ascii="Book Antiqua" w:hAnsi="Book Antiqua"/>
        <w:b/>
        <w:bCs/>
        <w:noProof/>
        <w:color w:val="17365D" w:themeColor="text2" w:themeShade="BF"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-40005</wp:posOffset>
          </wp:positionV>
          <wp:extent cx="1209675" cy="1533525"/>
          <wp:effectExtent l="19050" t="0" r="9525" b="0"/>
          <wp:wrapNone/>
          <wp:docPr id="2" name="Obraz 1" descr="logo konk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nk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E0" w:rsidRPr="00DD6EE0">
      <w:rPr>
        <w:rFonts w:ascii="Book Antiqua" w:hAnsi="Book Antiqua"/>
        <w:b/>
        <w:bCs/>
        <w:color w:val="17365D" w:themeColor="text2" w:themeShade="BF"/>
        <w:sz w:val="26"/>
        <w:szCs w:val="26"/>
      </w:rPr>
      <w:t xml:space="preserve">SOSNOWIECKIE CENTRUM </w:t>
    </w:r>
    <w:r w:rsidR="00DD6EE0" w:rsidRPr="00DD6EE0">
      <w:rPr>
        <w:rFonts w:ascii="Book Antiqua" w:hAnsi="Book Antiqua"/>
        <w:b/>
        <w:bCs/>
        <w:color w:val="17365D" w:themeColor="text2" w:themeShade="BF"/>
        <w:sz w:val="26"/>
        <w:szCs w:val="26"/>
      </w:rPr>
      <w:br/>
      <w:t>ORGANIZACJI POZARZĄDOWYCH</w:t>
    </w:r>
  </w:p>
  <w:p w:rsidR="00DD6EE0" w:rsidRPr="00DD6EE0" w:rsidRDefault="00DD6EE0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1F497D" w:themeColor="text2"/>
        <w:sz w:val="20"/>
        <w:szCs w:val="20"/>
      </w:rPr>
    </w:pPr>
    <w:r w:rsidRPr="00DD6EE0">
      <w:rPr>
        <w:rFonts w:ascii="Book Antiqua" w:hAnsi="Book Antiqua"/>
        <w:b/>
        <w:bCs/>
        <w:color w:val="1F497D" w:themeColor="text2"/>
        <w:sz w:val="20"/>
        <w:szCs w:val="20"/>
      </w:rPr>
      <w:t>Wydział Współpracy z Organizacjami Pozarządowymi</w:t>
    </w:r>
  </w:p>
  <w:p w:rsidR="00DD6EE0" w:rsidRPr="00DD6EE0" w:rsidRDefault="00DD6EE0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1F497D" w:themeColor="text2"/>
        <w:sz w:val="20"/>
        <w:szCs w:val="20"/>
      </w:rPr>
    </w:pPr>
    <w:r w:rsidRPr="00DD6EE0">
      <w:rPr>
        <w:rFonts w:ascii="Book Antiqua" w:hAnsi="Book Antiqua"/>
        <w:b/>
        <w:bCs/>
        <w:color w:val="1F497D" w:themeColor="text2"/>
        <w:sz w:val="20"/>
        <w:szCs w:val="20"/>
      </w:rPr>
      <w:t>Urząd Miejski w Sosnowcu</w:t>
    </w:r>
  </w:p>
  <w:p w:rsidR="00DD6EE0" w:rsidRPr="00C051F5" w:rsidRDefault="00DD6EE0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92D050"/>
        <w:sz w:val="20"/>
        <w:szCs w:val="20"/>
      </w:rPr>
    </w:pPr>
    <w:r w:rsidRPr="00C051F5">
      <w:rPr>
        <w:rFonts w:ascii="Book Antiqua" w:hAnsi="Book Antiqua"/>
        <w:b/>
        <w:bCs/>
        <w:color w:val="92D050"/>
        <w:sz w:val="20"/>
        <w:szCs w:val="20"/>
      </w:rPr>
      <w:t>Plac Kościuszki 5</w:t>
    </w:r>
  </w:p>
  <w:p w:rsidR="00DD6EE0" w:rsidRPr="0057204F" w:rsidRDefault="00DD6EE0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92D050"/>
        <w:sz w:val="20"/>
        <w:szCs w:val="20"/>
        <w:lang w:val="en-US"/>
      </w:rPr>
    </w:pPr>
    <w:r w:rsidRPr="003D315C">
      <w:rPr>
        <w:rFonts w:ascii="Book Antiqua" w:hAnsi="Book Antiqua"/>
        <w:b/>
        <w:bCs/>
        <w:color w:val="92D050"/>
        <w:sz w:val="20"/>
        <w:szCs w:val="20"/>
        <w:lang w:val="en-US"/>
      </w:rPr>
      <w:t>tel.</w:t>
    </w:r>
    <w:r w:rsidR="003D315C">
      <w:rPr>
        <w:rFonts w:ascii="Book Antiqua" w:hAnsi="Book Antiqua"/>
        <w:b/>
        <w:bCs/>
        <w:color w:val="92D050"/>
        <w:sz w:val="20"/>
        <w:szCs w:val="20"/>
        <w:lang w:val="en-US"/>
      </w:rPr>
      <w:t>/fax</w:t>
    </w:r>
    <w:r w:rsidRPr="003D315C">
      <w:rPr>
        <w:rFonts w:ascii="Book Antiqua" w:hAnsi="Book Antiqua"/>
        <w:b/>
        <w:bCs/>
        <w:color w:val="92D050"/>
        <w:sz w:val="20"/>
        <w:szCs w:val="20"/>
        <w:lang w:val="en-US"/>
      </w:rPr>
      <w:t xml:space="preserve"> 32/292 10 14,</w:t>
    </w:r>
    <w:r w:rsidR="0057204F" w:rsidRPr="003D315C">
      <w:rPr>
        <w:rFonts w:ascii="Book Antiqua" w:hAnsi="Book Antiqua"/>
        <w:b/>
        <w:bCs/>
        <w:color w:val="92D050"/>
        <w:sz w:val="20"/>
        <w:szCs w:val="20"/>
        <w:lang w:val="en-US"/>
      </w:rPr>
      <w:t xml:space="preserve"> tel.</w:t>
    </w:r>
    <w:r w:rsidRPr="003D315C">
      <w:rPr>
        <w:rFonts w:ascii="Book Antiqua" w:hAnsi="Book Antiqua"/>
        <w:b/>
        <w:bCs/>
        <w:color w:val="92D050"/>
        <w:sz w:val="20"/>
        <w:szCs w:val="20"/>
        <w:lang w:val="en-US"/>
      </w:rPr>
      <w:t xml:space="preserve"> 32/263 32 22</w:t>
    </w:r>
    <w:r w:rsidR="0057204F" w:rsidRPr="003D315C">
      <w:rPr>
        <w:rFonts w:ascii="Book Antiqua" w:hAnsi="Book Antiqua"/>
        <w:b/>
        <w:bCs/>
        <w:color w:val="92D050"/>
        <w:sz w:val="20"/>
        <w:szCs w:val="20"/>
        <w:lang w:val="en-US"/>
      </w:rPr>
      <w:t>, tel. 32/ 263 32 76</w:t>
    </w:r>
  </w:p>
  <w:p w:rsidR="00DD6EE0" w:rsidRPr="00DD6EE0" w:rsidRDefault="00DD6EE0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1F497D" w:themeColor="text2"/>
        <w:sz w:val="20"/>
        <w:szCs w:val="20"/>
        <w:lang w:val="en-US"/>
      </w:rPr>
    </w:pPr>
    <w:r w:rsidRPr="00DD6EE0">
      <w:rPr>
        <w:rFonts w:ascii="Book Antiqua" w:hAnsi="Book Antiqua"/>
        <w:b/>
        <w:bCs/>
        <w:color w:val="1F497D" w:themeColor="text2"/>
        <w:sz w:val="20"/>
        <w:szCs w:val="20"/>
        <w:lang w:val="en-US"/>
      </w:rPr>
      <w:t>e-mail: scop@um.sosnowiec.pl</w:t>
    </w:r>
  </w:p>
  <w:p w:rsidR="00DD6EE0" w:rsidRPr="00DD6EE0" w:rsidRDefault="00DD6EE0" w:rsidP="00DD6EE0">
    <w:pPr>
      <w:pStyle w:val="Nagwek"/>
      <w:tabs>
        <w:tab w:val="left" w:pos="2580"/>
        <w:tab w:val="left" w:pos="2985"/>
      </w:tabs>
      <w:spacing w:line="276" w:lineRule="auto"/>
      <w:jc w:val="right"/>
      <w:rPr>
        <w:rFonts w:ascii="Book Antiqua" w:hAnsi="Book Antiqua"/>
        <w:b/>
        <w:bCs/>
        <w:color w:val="1F497D" w:themeColor="text2"/>
        <w:sz w:val="20"/>
        <w:szCs w:val="20"/>
        <w:lang w:val="en-US"/>
      </w:rPr>
    </w:pPr>
    <w:r w:rsidRPr="00DD6EE0">
      <w:rPr>
        <w:rFonts w:ascii="Book Antiqua" w:hAnsi="Book Antiqua"/>
        <w:b/>
        <w:bCs/>
        <w:color w:val="1F497D" w:themeColor="text2"/>
        <w:sz w:val="20"/>
        <w:szCs w:val="20"/>
        <w:lang w:val="en-US"/>
      </w:rPr>
      <w:t>www.wsparcie.sosnowiec.pl</w:t>
    </w:r>
    <w:r>
      <w:rPr>
        <w:rFonts w:ascii="Book Antiqua" w:hAnsi="Book Antiqua"/>
        <w:b/>
        <w:bCs/>
        <w:color w:val="1F497D" w:themeColor="text2"/>
        <w:sz w:val="20"/>
        <w:szCs w:val="20"/>
        <w:lang w:val="en-US"/>
      </w:rPr>
      <w:t xml:space="preserve"> </w:t>
    </w:r>
  </w:p>
  <w:p w:rsidR="00DD6EE0" w:rsidRPr="00DD6EE0" w:rsidRDefault="00DD6EE0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  <w:lang w:val="en-US"/>
      </w:rPr>
    </w:pPr>
  </w:p>
  <w:p w:rsidR="00DD6EE0" w:rsidRPr="00DD6EE0" w:rsidRDefault="00DD6EE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983"/>
    <w:multiLevelType w:val="hybridMultilevel"/>
    <w:tmpl w:val="324ABB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146536"/>
    <w:multiLevelType w:val="hybridMultilevel"/>
    <w:tmpl w:val="FF64248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0CD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08656A">
      <w:start w:val="1"/>
      <w:numFmt w:val="bullet"/>
      <w:lvlText w:val="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  <w:color w:val="auto"/>
      </w:rPr>
    </w:lvl>
    <w:lvl w:ilvl="3" w:tplc="F908656A">
      <w:start w:val="1"/>
      <w:numFmt w:val="bullet"/>
      <w:lvlText w:val="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  <w:color w:val="auto"/>
      </w:rPr>
    </w:lvl>
    <w:lvl w:ilvl="4" w:tplc="2544FBBE">
      <w:start w:val="1"/>
      <w:numFmt w:val="bullet"/>
      <w:lvlText w:val="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color w:val="auto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5541B"/>
    <w:multiLevelType w:val="hybridMultilevel"/>
    <w:tmpl w:val="9814D6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0914A7"/>
    <w:multiLevelType w:val="hybridMultilevel"/>
    <w:tmpl w:val="1AB01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C2D8D"/>
    <w:multiLevelType w:val="hybridMultilevel"/>
    <w:tmpl w:val="9050DE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EE0"/>
    <w:rsid w:val="000A28CA"/>
    <w:rsid w:val="000E1FBA"/>
    <w:rsid w:val="001136F5"/>
    <w:rsid w:val="00163C09"/>
    <w:rsid w:val="001772C0"/>
    <w:rsid w:val="001F6DBF"/>
    <w:rsid w:val="00201C67"/>
    <w:rsid w:val="002402B7"/>
    <w:rsid w:val="002B5898"/>
    <w:rsid w:val="00306B06"/>
    <w:rsid w:val="003B7317"/>
    <w:rsid w:val="003D315C"/>
    <w:rsid w:val="004458D7"/>
    <w:rsid w:val="004F4D8A"/>
    <w:rsid w:val="0057204F"/>
    <w:rsid w:val="0062326C"/>
    <w:rsid w:val="0067573D"/>
    <w:rsid w:val="007A4293"/>
    <w:rsid w:val="00865F75"/>
    <w:rsid w:val="009A12BB"/>
    <w:rsid w:val="00A11529"/>
    <w:rsid w:val="00A205A1"/>
    <w:rsid w:val="00A31A40"/>
    <w:rsid w:val="00B072A5"/>
    <w:rsid w:val="00B26A37"/>
    <w:rsid w:val="00B47696"/>
    <w:rsid w:val="00B77B0E"/>
    <w:rsid w:val="00C051F5"/>
    <w:rsid w:val="00C52083"/>
    <w:rsid w:val="00D367D0"/>
    <w:rsid w:val="00D867FC"/>
    <w:rsid w:val="00DB0A6E"/>
    <w:rsid w:val="00DD6EE0"/>
    <w:rsid w:val="00E06445"/>
    <w:rsid w:val="00E07C12"/>
    <w:rsid w:val="00EA7DEF"/>
    <w:rsid w:val="00F008A5"/>
    <w:rsid w:val="00FD0EED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A1"/>
    <w:rPr>
      <w:rFonts w:ascii="Tahoma" w:eastAsiaTheme="minorHAnsi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EE0"/>
    <w:pPr>
      <w:tabs>
        <w:tab w:val="center" w:pos="4536"/>
        <w:tab w:val="right" w:pos="9072"/>
      </w:tabs>
      <w:spacing w:after="0" w:line="240" w:lineRule="auto"/>
    </w:pPr>
    <w:rPr>
      <w:rFonts w:asciiTheme="minorHAnsi" w:eastAsia="Calibri" w:hAnsiTheme="minorHAnsi" w:cs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D6EE0"/>
    <w:rPr>
      <w:rFonts w:cs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D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EE0"/>
    <w:rPr>
      <w:rFonts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E0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6EE0"/>
    <w:rPr>
      <w:color w:val="0000FF" w:themeColor="hyperlink"/>
      <w:u w:val="single"/>
    </w:rPr>
  </w:style>
  <w:style w:type="paragraph" w:customStyle="1" w:styleId="Bezodstpw1">
    <w:name w:val="Bez odstępów1"/>
    <w:rsid w:val="00A205A1"/>
    <w:pPr>
      <w:tabs>
        <w:tab w:val="left" w:pos="708"/>
      </w:tabs>
      <w:suppressAutoHyphens/>
      <w:spacing w:after="0" w:line="240" w:lineRule="auto"/>
    </w:pPr>
    <w:rPr>
      <w:rFonts w:ascii="Calibri" w:hAnsi="Calibri" w:cs="Calibri"/>
      <w:color w:val="00000A"/>
      <w:kern w:val="2"/>
    </w:rPr>
  </w:style>
  <w:style w:type="character" w:styleId="Uwydatnienie">
    <w:name w:val="Emphasis"/>
    <w:basedOn w:val="Domylnaczcionkaakapitu"/>
    <w:uiPriority w:val="20"/>
    <w:qFormat/>
    <w:rsid w:val="0062326C"/>
    <w:rPr>
      <w:i/>
      <w:iCs/>
    </w:rPr>
  </w:style>
  <w:style w:type="character" w:customStyle="1" w:styleId="apple-converted-space">
    <w:name w:val="apple-converted-space"/>
    <w:basedOn w:val="Domylnaczcionkaakapitu"/>
    <w:rsid w:val="0062326C"/>
  </w:style>
  <w:style w:type="character" w:styleId="Pogrubienie">
    <w:name w:val="Strong"/>
    <w:basedOn w:val="Domylnaczcionkaakapitu"/>
    <w:uiPriority w:val="22"/>
    <w:qFormat/>
    <w:rsid w:val="0062326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2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26C"/>
    <w:rPr>
      <w:rFonts w:ascii="Tahoma" w:eastAsiaTheme="minorHAnsi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2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91F5-4DCA-4F71-A4A9-6BF60FE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Sosnowieckie Cenm Organizacji Pozarządowych</vt:lpstr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Sosnowieckie Cenm Organizacji Pozarządowych</dc:title>
  <dc:subject>Wydział Współpracy z Organizacjami Pozarządowymi Urząd Miejski W Sosnowcu</dc:subject>
  <dc:creator>ola</dc:creator>
  <cp:lastModifiedBy>ola</cp:lastModifiedBy>
  <cp:revision>2</cp:revision>
  <cp:lastPrinted>2018-10-25T06:06:00Z</cp:lastPrinted>
  <dcterms:created xsi:type="dcterms:W3CDTF">2018-10-25T06:08:00Z</dcterms:created>
  <dcterms:modified xsi:type="dcterms:W3CDTF">2018-10-25T06:08:00Z</dcterms:modified>
</cp:coreProperties>
</file>